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112" w:rsidRDefault="004B6AE2">
      <w:bookmarkStart w:id="0" w:name="_GoBack"/>
      <w:bookmarkEnd w:id="0"/>
      <w:r>
        <w:rPr>
          <w:noProof/>
        </w:rPr>
        <w:drawing>
          <wp:inline distT="114300" distB="114300" distL="114300" distR="114300">
            <wp:extent cx="3511926" cy="1004888"/>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511926" cy="1004888"/>
                    </a:xfrm>
                    <a:prstGeom prst="rect">
                      <a:avLst/>
                    </a:prstGeom>
                    <a:ln/>
                  </pic:spPr>
                </pic:pic>
              </a:graphicData>
            </a:graphic>
          </wp:inline>
        </w:drawing>
      </w:r>
    </w:p>
    <w:p w:rsidR="00486112" w:rsidRDefault="004B6AE2">
      <w:pPr>
        <w:rPr>
          <w:b/>
        </w:rPr>
      </w:pPr>
      <w:r>
        <w:rPr>
          <w:b/>
        </w:rPr>
        <w:t>____________________________________________________________________________</w:t>
      </w:r>
    </w:p>
    <w:p w:rsidR="00486112" w:rsidRDefault="00486112">
      <w:pPr>
        <w:rPr>
          <w:b/>
        </w:rPr>
      </w:pPr>
    </w:p>
    <w:p w:rsidR="00486112" w:rsidRDefault="004B6AE2">
      <w:pPr>
        <w:rPr>
          <w:rFonts w:ascii="Roboto" w:eastAsia="Roboto" w:hAnsi="Roboto" w:cs="Roboto"/>
          <w:b/>
          <w:color w:val="D45F4A"/>
          <w:sz w:val="36"/>
          <w:szCs w:val="36"/>
        </w:rPr>
      </w:pPr>
      <w:r>
        <w:rPr>
          <w:rFonts w:ascii="Roboto" w:eastAsia="Roboto" w:hAnsi="Roboto" w:cs="Roboto"/>
          <w:b/>
          <w:color w:val="D45F4A"/>
          <w:sz w:val="36"/>
          <w:szCs w:val="36"/>
        </w:rPr>
        <w:t>Property Insurance Terms Defined</w:t>
      </w:r>
    </w:p>
    <w:p w:rsidR="00486112" w:rsidRDefault="004B6AE2">
      <w:pPr>
        <w:rPr>
          <w:b/>
          <w:sz w:val="34"/>
          <w:szCs w:val="34"/>
        </w:rPr>
      </w:pPr>
      <w:r>
        <w:rPr>
          <w:rFonts w:ascii="Source Sans Pro" w:eastAsia="Source Sans Pro" w:hAnsi="Source Sans Pro" w:cs="Source Sans Pro"/>
          <w:highlight w:val="white"/>
        </w:rPr>
        <w:t>Here’s a  glossary of frequently used insurance terms to help you better understand your policy and your claim.</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ACTUAL CASH VALUE (ACV)</w:t>
      </w:r>
      <w:r>
        <w:rPr>
          <w:highlight w:val="white"/>
        </w:rPr>
        <w:t xml:space="preserve">: </w:t>
      </w:r>
      <w:r>
        <w:rPr>
          <w:rFonts w:ascii="Source Sans Pro" w:eastAsia="Source Sans Pro" w:hAnsi="Source Sans Pro" w:cs="Source Sans Pro"/>
          <w:highlight w:val="white"/>
        </w:rPr>
        <w:t xml:space="preserve">In property insurance claims, one of two primary methods insurance companies use to establish the current value of insured property. ACV is calculated one of three ways: </w:t>
      </w:r>
    </w:p>
    <w:p w:rsidR="00486112" w:rsidRDefault="004B6AE2">
      <w:pPr>
        <w:numPr>
          <w:ilvl w:val="0"/>
          <w:numId w:val="4"/>
        </w:numPr>
        <w:pBdr>
          <w:top w:val="none" w:sz="0" w:space="0" w:color="auto"/>
          <w:left w:val="none" w:sz="0" w:space="6" w:color="auto"/>
          <w:bottom w:val="none" w:sz="0" w:space="0" w:color="auto"/>
          <w:right w:val="none" w:sz="0" w:space="0" w:color="auto"/>
          <w:between w:val="none" w:sz="0" w:space="0" w:color="auto"/>
        </w:pBdr>
        <w:shd w:val="clear" w:color="auto" w:fill="FFFFFF"/>
        <w:contextualSpacing/>
        <w:rPr>
          <w:rFonts w:ascii="Source Sans Pro" w:eastAsia="Source Sans Pro" w:hAnsi="Source Sans Pro" w:cs="Source Sans Pro"/>
          <w:highlight w:val="white"/>
        </w:rPr>
      </w:pPr>
      <w:r>
        <w:rPr>
          <w:rFonts w:ascii="Source Sans Pro" w:eastAsia="Source Sans Pro" w:hAnsi="Source Sans Pro" w:cs="Source Sans Pro"/>
          <w:highlight w:val="white"/>
        </w:rPr>
        <w:t>The replacement (new) cost of the damaged property, minus depreciation</w:t>
      </w:r>
    </w:p>
    <w:p w:rsidR="00486112" w:rsidRDefault="004B6AE2">
      <w:pPr>
        <w:numPr>
          <w:ilvl w:val="0"/>
          <w:numId w:val="4"/>
        </w:numPr>
        <w:pBdr>
          <w:top w:val="none" w:sz="0" w:space="0" w:color="auto"/>
          <w:left w:val="none" w:sz="0" w:space="6" w:color="auto"/>
          <w:bottom w:val="none" w:sz="0" w:space="0" w:color="auto"/>
          <w:right w:val="none" w:sz="0" w:space="0" w:color="auto"/>
          <w:between w:val="none" w:sz="0" w:space="0" w:color="auto"/>
        </w:pBdr>
        <w:shd w:val="clear" w:color="auto" w:fill="FFFFFF"/>
        <w:contextualSpacing/>
        <w:rPr>
          <w:rFonts w:ascii="Source Sans Pro" w:eastAsia="Source Sans Pro" w:hAnsi="Source Sans Pro" w:cs="Source Sans Pro"/>
          <w:highlight w:val="white"/>
        </w:rPr>
      </w:pPr>
      <w:r>
        <w:rPr>
          <w:rFonts w:ascii="Source Sans Pro" w:eastAsia="Source Sans Pro" w:hAnsi="Source Sans Pro" w:cs="Source Sans Pro"/>
          <w:highlight w:val="white"/>
        </w:rPr>
        <w:t>The damaged pr</w:t>
      </w:r>
      <w:r>
        <w:rPr>
          <w:rFonts w:ascii="Source Sans Pro" w:eastAsia="Source Sans Pro" w:hAnsi="Source Sans Pro" w:cs="Source Sans Pro"/>
          <w:highlight w:val="white"/>
        </w:rPr>
        <w:t>operty's "fair market value"</w:t>
      </w:r>
    </w:p>
    <w:p w:rsidR="00486112" w:rsidRDefault="004B6AE2">
      <w:pPr>
        <w:numPr>
          <w:ilvl w:val="0"/>
          <w:numId w:val="4"/>
        </w:numPr>
        <w:pBdr>
          <w:top w:val="none" w:sz="0" w:space="0" w:color="auto"/>
          <w:left w:val="none" w:sz="0" w:space="6" w:color="auto"/>
          <w:bottom w:val="none" w:sz="0" w:space="0" w:color="auto"/>
          <w:right w:val="none" w:sz="0" w:space="0" w:color="auto"/>
          <w:between w:val="none" w:sz="0" w:space="0" w:color="auto"/>
        </w:pBdr>
        <w:shd w:val="clear" w:color="auto" w:fill="FFFFFF"/>
        <w:contextualSpacing/>
        <w:rPr>
          <w:rFonts w:ascii="Source Sans Pro" w:eastAsia="Source Sans Pro" w:hAnsi="Source Sans Pro" w:cs="Source Sans Pro"/>
          <w:highlight w:val="white"/>
        </w:rPr>
      </w:pPr>
      <w:r>
        <w:rPr>
          <w:rFonts w:ascii="Source Sans Pro" w:eastAsia="Source Sans Pro" w:hAnsi="Source Sans Pro" w:cs="Source Sans Pro"/>
          <w:highlight w:val="white"/>
        </w:rPr>
        <w:t>Using the "broad evidence rule," which considers any relevant factors evidence of the value of the damaged property.</w:t>
      </w:r>
    </w:p>
    <w:p w:rsidR="00486112" w:rsidRDefault="00486112">
      <w:pPr>
        <w:pBdr>
          <w:top w:val="none" w:sz="0" w:space="0" w:color="auto"/>
          <w:left w:val="none" w:sz="0" w:space="6" w:color="auto"/>
          <w:bottom w:val="none" w:sz="0" w:space="0" w:color="auto"/>
          <w:right w:val="none" w:sz="0" w:space="0" w:color="auto"/>
          <w:between w:val="none" w:sz="0" w:space="0" w:color="auto"/>
        </w:pBdr>
        <w:shd w:val="clear" w:color="auto" w:fill="FFFFFF"/>
        <w:rPr>
          <w:rFonts w:ascii="Source Sans Pro" w:eastAsia="Source Sans Pro" w:hAnsi="Source Sans Pro" w:cs="Source Sans Pro"/>
          <w:i/>
          <w:highlight w:val="white"/>
        </w:rPr>
      </w:pP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rPr>
          <w:rFonts w:ascii="Source Sans Pro" w:eastAsia="Source Sans Pro" w:hAnsi="Source Sans Pro" w:cs="Source Sans Pro"/>
          <w:i/>
          <w:highlight w:val="white"/>
        </w:rPr>
      </w:pPr>
      <w:r>
        <w:rPr>
          <w:rFonts w:ascii="Source Sans Pro" w:eastAsia="Source Sans Pro" w:hAnsi="Source Sans Pro" w:cs="Source Sans Pro"/>
          <w:i/>
          <w:highlight w:val="white"/>
        </w:rPr>
        <w:t>(Also see “Replacement Cost Value RCV”)</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ACTUAL LOSS SUSTAINED (BUSINESS INTERRUPTION INSURANCE)</w:t>
      </w:r>
      <w:r>
        <w:rPr>
          <w:highlight w:val="white"/>
        </w:rPr>
        <w:t xml:space="preserve">: </w:t>
      </w:r>
      <w:r>
        <w:rPr>
          <w:rFonts w:ascii="Source Sans Pro" w:eastAsia="Source Sans Pro" w:hAnsi="Source Sans Pro" w:cs="Source Sans Pro"/>
          <w:highlight w:val="white"/>
        </w:rPr>
        <w:t>Form of coverage that pays the amount of business income loss actually incurred by a peril not otherwise excluded from the policy. The insurer is only obligated to pay if the insured actually sustained an interruption of business leading to a business inco</w:t>
      </w:r>
      <w:r>
        <w:rPr>
          <w:rFonts w:ascii="Source Sans Pro" w:eastAsia="Source Sans Pro" w:hAnsi="Source Sans Pro" w:cs="Source Sans Pro"/>
          <w:highlight w:val="white"/>
        </w:rPr>
        <w:t>me loss. If the insured does sustain a business income loss, the extent of the insurer’s obligation is limited to the dollar amount of loss actually sustained, but not to exceed the applicable policy limit.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ACTUARY:</w:t>
      </w:r>
      <w:r>
        <w:rPr>
          <w:rFonts w:ascii="Source Sans Pro" w:eastAsia="Source Sans Pro" w:hAnsi="Source Sans Pro" w:cs="Source Sans Pro"/>
          <w:highlight w:val="white"/>
        </w:rPr>
        <w:t xml:space="preserve"> Business professional who analyzes proba</w:t>
      </w:r>
      <w:r>
        <w:rPr>
          <w:rFonts w:ascii="Source Sans Pro" w:eastAsia="Source Sans Pro" w:hAnsi="Source Sans Pro" w:cs="Source Sans Pro"/>
          <w:highlight w:val="white"/>
        </w:rPr>
        <w:t>bilities of risk and risk management, including calculation of premiums, dividends and other applicable insurance industry standards.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i/>
          <w:highlight w:val="white"/>
        </w:rPr>
      </w:pPr>
      <w:r>
        <w:rPr>
          <w:rFonts w:ascii="Roboto" w:eastAsia="Roboto" w:hAnsi="Roboto" w:cs="Roboto"/>
          <w:b/>
          <w:i/>
          <w:color w:val="D45F4A"/>
          <w:sz w:val="24"/>
          <w:szCs w:val="24"/>
          <w:highlight w:val="white"/>
        </w:rPr>
        <w:t xml:space="preserve">ADDITIONAL COVERAGES: </w:t>
      </w:r>
      <w:r>
        <w:rPr>
          <w:rFonts w:ascii="Source Sans Pro" w:eastAsia="Source Sans Pro" w:hAnsi="Source Sans Pro" w:cs="Source Sans Pro"/>
          <w:highlight w:val="white"/>
        </w:rPr>
        <w:t>Other coverages in an insurance policy for costs incurred after an insured peril occurs. Most common</w:t>
      </w:r>
      <w:r>
        <w:rPr>
          <w:rFonts w:ascii="Source Sans Pro" w:eastAsia="Source Sans Pro" w:hAnsi="Source Sans Pro" w:cs="Source Sans Pro"/>
          <w:highlight w:val="white"/>
        </w:rPr>
        <w:t xml:space="preserve"> among these are debris removal, tree removal, reasonable repairs to prevent further damage, fire department service charge, trees, shrubs and other plants, glass or safety glazing material, and refrigerated products.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ADDITIONAL LIVING EXPENSE (ALE):</w:t>
      </w:r>
      <w:r>
        <w:rPr>
          <w:rFonts w:ascii="Source Sans Pro" w:eastAsia="Source Sans Pro" w:hAnsi="Source Sans Pro" w:cs="Source Sans Pro"/>
          <w:highlight w:val="white"/>
        </w:rPr>
        <w:t xml:space="preserve"> Inclu</w:t>
      </w:r>
      <w:r>
        <w:rPr>
          <w:rFonts w:ascii="Source Sans Pro" w:eastAsia="Source Sans Pro" w:hAnsi="Source Sans Pro" w:cs="Source Sans Pro"/>
          <w:highlight w:val="white"/>
        </w:rPr>
        <w:t>ded under Coverage D - Loss of Use - ALE pays any necessary increase in expenses you incur so that your household can maintain its normal standard of living when a covered loss makes the "residence premises" (your home) unfit to live in.</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lastRenderedPageBreak/>
        <w:t>ADJUST, ADJUSTER (INSURANCE):</w:t>
      </w:r>
      <w:r>
        <w:rPr>
          <w:highlight w:val="white"/>
        </w:rPr>
        <w:t xml:space="preserve"> </w:t>
      </w:r>
      <w:r>
        <w:rPr>
          <w:rFonts w:ascii="Source Sans Pro" w:eastAsia="Source Sans Pro" w:hAnsi="Source Sans Pro" w:cs="Source Sans Pro"/>
          <w:highlight w:val="white"/>
        </w:rPr>
        <w:t>To investigate, administer or negotiate an insurance loss for one of the parties to the loss. An individual who adjusts insurance losses for one of the parties to the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AGENT:</w:t>
      </w:r>
      <w:r>
        <w:rPr>
          <w:rFonts w:ascii="Source Sans Pro" w:eastAsia="Source Sans Pro" w:hAnsi="Source Sans Pro" w:cs="Source Sans Pro"/>
          <w:highlight w:val="white"/>
        </w:rPr>
        <w:t xml:space="preserve"> An individual who sells, services or negotiate</w:t>
      </w:r>
      <w:r>
        <w:rPr>
          <w:rFonts w:ascii="Source Sans Pro" w:eastAsia="Source Sans Pro" w:hAnsi="Source Sans Pro" w:cs="Source Sans Pro"/>
          <w:highlight w:val="white"/>
        </w:rPr>
        <w:t xml:space="preserve">s insurance policies either on behalf of a company or independently. </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AGREED VALUE POLICY:</w:t>
      </w:r>
      <w:r>
        <w:rPr>
          <w:highlight w:val="white"/>
        </w:rPr>
        <w:t xml:space="preserve"> </w:t>
      </w:r>
      <w:r>
        <w:rPr>
          <w:rFonts w:ascii="Source Sans Pro" w:eastAsia="Source Sans Pro" w:hAnsi="Source Sans Pro" w:cs="Source Sans Pro"/>
          <w:highlight w:val="white"/>
        </w:rPr>
        <w:t>An insurance contract for which the value is agreed upon in advance and is not related to the amount of the insured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APPRAISAL:</w:t>
      </w:r>
      <w:r>
        <w:rPr>
          <w:highlight w:val="white"/>
        </w:rPr>
        <w:t xml:space="preserve"> </w:t>
      </w:r>
      <w:r>
        <w:rPr>
          <w:rFonts w:ascii="Source Sans Pro" w:eastAsia="Source Sans Pro" w:hAnsi="Source Sans Pro" w:cs="Source Sans Pro"/>
          <w:highlight w:val="white"/>
        </w:rPr>
        <w:t>A method described within the po</w:t>
      </w:r>
      <w:r>
        <w:rPr>
          <w:rFonts w:ascii="Source Sans Pro" w:eastAsia="Source Sans Pro" w:hAnsi="Source Sans Pro" w:cs="Source Sans Pro"/>
          <w:highlight w:val="white"/>
        </w:rPr>
        <w:t>licy in Section 1 - Conditions - that resolves disputes in the amount of loss. The Appraisal Clause allows either the insured or the insurance company to demand a binding appraisal of damaged property in the event of a dispute. Each party then selects a co</w:t>
      </w:r>
      <w:r>
        <w:rPr>
          <w:rFonts w:ascii="Source Sans Pro" w:eastAsia="Source Sans Pro" w:hAnsi="Source Sans Pro" w:cs="Source Sans Pro"/>
          <w:highlight w:val="white"/>
        </w:rPr>
        <w:t>mpetent and impartial appraiser, then the two appraisers select an umpire. Each appraiser sets an amount of loss; if they fail to agree on the amount, the umpire decides and the decision is final.</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ARBITRATION</w:t>
      </w:r>
      <w:r>
        <w:rPr>
          <w:highlight w:val="white"/>
        </w:rPr>
        <w:t xml:space="preserve">: </w:t>
      </w:r>
      <w:r>
        <w:rPr>
          <w:rFonts w:ascii="Source Sans Pro" w:eastAsia="Source Sans Pro" w:hAnsi="Source Sans Pro" w:cs="Source Sans Pro"/>
          <w:highlight w:val="white"/>
        </w:rPr>
        <w:t>A common way to resolve disputes without trial</w:t>
      </w:r>
      <w:r>
        <w:rPr>
          <w:rFonts w:ascii="Source Sans Pro" w:eastAsia="Source Sans Pro" w:hAnsi="Source Sans Pro" w:cs="Source Sans Pro"/>
          <w:highlight w:val="white"/>
        </w:rPr>
        <w:t>. Parties that agree to arbitration will select an arbitrator, or panel of arbitrators, who will review the facts of the dispute and make a decision on how it will be resolved. An arbitrator's decision has legal enforcement, so the decision of an arbitrato</w:t>
      </w:r>
      <w:r>
        <w:rPr>
          <w:rFonts w:ascii="Source Sans Pro" w:eastAsia="Source Sans Pro" w:hAnsi="Source Sans Pro" w:cs="Source Sans Pro"/>
          <w:highlight w:val="white"/>
        </w:rPr>
        <w:t>r is binding.</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BAD FAITH:</w:t>
      </w:r>
      <w:r>
        <w:rPr>
          <w:b/>
          <w:i/>
          <w:highlight w:val="white"/>
        </w:rPr>
        <w:t xml:space="preserve"> </w:t>
      </w:r>
      <w:r>
        <w:rPr>
          <w:rFonts w:ascii="Source Sans Pro" w:eastAsia="Source Sans Pro" w:hAnsi="Source Sans Pro" w:cs="Source Sans Pro"/>
          <w:highlight w:val="white"/>
        </w:rPr>
        <w:t>Intentional dishonest act by not fulfilling legal or contractual obligations, misleading another, entering into an agreement without the intention or means to fulfill it, or violating basic standards of honesty in dealing with othe</w:t>
      </w:r>
      <w:r>
        <w:rPr>
          <w:rFonts w:ascii="Source Sans Pro" w:eastAsia="Source Sans Pro" w:hAnsi="Source Sans Pro" w:cs="Source Sans Pro"/>
          <w:highlight w:val="white"/>
        </w:rPr>
        <w:t>rs. Bad faith describes blatantly unfair conduct that exceeds mere negligence. Bad faith claims and lawsuits may stem from one or more of a number of actions or inactions by the insurance company, from denial of coverage to failure to negotiate a settlemen</w:t>
      </w:r>
      <w:r>
        <w:rPr>
          <w:rFonts w:ascii="Source Sans Pro" w:eastAsia="Source Sans Pro" w:hAnsi="Source Sans Pro" w:cs="Source Sans Pro"/>
          <w:highlight w:val="white"/>
        </w:rPr>
        <w:t>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BLANKET LIMIT:</w:t>
      </w:r>
      <w:r>
        <w:rPr>
          <w:b/>
          <w:i/>
          <w:highlight w:val="white"/>
        </w:rPr>
        <w:t xml:space="preserve"> </w:t>
      </w:r>
      <w:r>
        <w:rPr>
          <w:rFonts w:ascii="Source Sans Pro" w:eastAsia="Source Sans Pro" w:hAnsi="Source Sans Pro" w:cs="Source Sans Pro"/>
          <w:highlight w:val="white"/>
        </w:rPr>
        <w:t>A single limit of insurance that applies over more than one location or more than one category of property coverage, or both. This is in contrast to specific or scheduled limits of insurance, which are separate limits that apply to each t</w:t>
      </w:r>
      <w:r>
        <w:rPr>
          <w:rFonts w:ascii="Source Sans Pro" w:eastAsia="Source Sans Pro" w:hAnsi="Source Sans Pro" w:cs="Source Sans Pro"/>
          <w:highlight w:val="white"/>
        </w:rPr>
        <w:t>ype of property at each location.</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BOILER &amp; MACHINERY OR EQUIPMENT BREAKDOWN &amp; MACHINERY:</w:t>
      </w:r>
      <w:r>
        <w:rPr>
          <w:highlight w:val="white"/>
        </w:rPr>
        <w:t xml:space="preserve"> </w:t>
      </w:r>
      <w:r>
        <w:rPr>
          <w:rFonts w:ascii="Source Sans Pro" w:eastAsia="Source Sans Pro" w:hAnsi="Source Sans Pro" w:cs="Source Sans Pro"/>
          <w:highlight w:val="white"/>
        </w:rPr>
        <w:t>Coverage for the failure of boilers, machinery and other electrical equipment. Benefits include 1) property of the insured, which has been directly damaged by the acci</w:t>
      </w:r>
      <w:r>
        <w:rPr>
          <w:rFonts w:ascii="Source Sans Pro" w:eastAsia="Source Sans Pro" w:hAnsi="Source Sans Pro" w:cs="Source Sans Pro"/>
          <w:highlight w:val="white"/>
        </w:rPr>
        <w:t>dent; 2) costs of temporary repairs and expediting expenses; and 3) liability for damage to the property of others. Coverage also includes inspection of the equipment.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BROKER:</w:t>
      </w:r>
      <w:r>
        <w:rPr>
          <w:rFonts w:ascii="Source Sans Pro" w:eastAsia="Source Sans Pro" w:hAnsi="Source Sans Pro" w:cs="Source Sans Pro"/>
          <w:highlight w:val="white"/>
        </w:rPr>
        <w:t xml:space="preserve"> An individual who receives commissions from the sale and service of insurance po</w:t>
      </w:r>
      <w:r>
        <w:rPr>
          <w:rFonts w:ascii="Source Sans Pro" w:eastAsia="Source Sans Pro" w:hAnsi="Source Sans Pro" w:cs="Source Sans Pro"/>
          <w:highlight w:val="white"/>
        </w:rPr>
        <w:t>licies. These individuals work on behalf of the customer and are not restricted to selling policies for a specific company but commissions are paid by the company with which the sale was made.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lastRenderedPageBreak/>
        <w:t>BUILDING ORDINANCE  INSURANCE:</w:t>
      </w:r>
      <w:r>
        <w:rPr>
          <w:highlight w:val="white"/>
        </w:rPr>
        <w:t xml:space="preserve"> </w:t>
      </w:r>
      <w:r>
        <w:rPr>
          <w:rFonts w:ascii="Source Sans Pro" w:eastAsia="Source Sans Pro" w:hAnsi="Source Sans Pro" w:cs="Source Sans Pro"/>
          <w:highlight w:val="white"/>
        </w:rPr>
        <w:t>Coverage setting aside the Ordin</w:t>
      </w:r>
      <w:r>
        <w:rPr>
          <w:rFonts w:ascii="Source Sans Pro" w:eastAsia="Source Sans Pro" w:hAnsi="Source Sans Pro" w:cs="Source Sans Pro"/>
          <w:highlight w:val="white"/>
        </w:rPr>
        <w:t>ance or Law exclusion and offering one or more of three coverages for the possible added Ordinance or Law compliance: 1) demolition costs; 2) loss of value of the undamaged portion of a damaged building; and 3) increased cost of reconstruction to comply wi</w:t>
      </w:r>
      <w:r>
        <w:rPr>
          <w:rFonts w:ascii="Source Sans Pro" w:eastAsia="Source Sans Pro" w:hAnsi="Source Sans Pro" w:cs="Source Sans Pro"/>
          <w:highlight w:val="white"/>
        </w:rPr>
        <w:t xml:space="preserve">th current law. Ordinance or Law covers losses caused by enforcement of ordinances or laws regulating construction and repair of damaged buildings. Coverage also extends to damaged older structures that may need upgraded electrical, heating, ventilating &amp; </w:t>
      </w:r>
      <w:r>
        <w:rPr>
          <w:rFonts w:ascii="Source Sans Pro" w:eastAsia="Source Sans Pro" w:hAnsi="Source Sans Pro" w:cs="Source Sans Pro"/>
          <w:highlight w:val="white"/>
        </w:rPr>
        <w:t>air-conditioning (HVAC) and plumbing units based on city codes.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CAPTIVE AGENT:</w:t>
      </w:r>
      <w:r>
        <w:rPr>
          <w:rFonts w:ascii="Source Sans Pro" w:eastAsia="Source Sans Pro" w:hAnsi="Source Sans Pro" w:cs="Source Sans Pro"/>
          <w:highlight w:val="white"/>
        </w:rPr>
        <w:t xml:space="preserve"> An individual who sells, services or negotiates insurance policies on behalf of a specific company.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CAUSE AND ORIGIN:</w:t>
      </w:r>
      <w:r>
        <w:rPr>
          <w:highlight w:val="white"/>
        </w:rPr>
        <w:t xml:space="preserve"> The investigation seeking how a peril such as a house fire began. </w:t>
      </w:r>
      <w:r>
        <w:rPr>
          <w:rFonts w:ascii="Source Sans Pro" w:eastAsia="Source Sans Pro" w:hAnsi="Source Sans Pro" w:cs="Source Sans Pro"/>
          <w:highlight w:val="white"/>
        </w:rPr>
        <w:t>If the cause of loss is not determined, an investigation will have to take place to determine policy coverage.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CIVIL AUTHORITY CLAUSE:</w:t>
      </w:r>
      <w:r>
        <w:rPr>
          <w:highlight w:val="white"/>
        </w:rPr>
        <w:t xml:space="preserve"> </w:t>
      </w:r>
      <w:r>
        <w:rPr>
          <w:rFonts w:ascii="Source Sans Pro" w:eastAsia="Source Sans Pro" w:hAnsi="Source Sans Pro" w:cs="Source Sans Pro"/>
          <w:highlight w:val="white"/>
        </w:rPr>
        <w:t>A clause found in business income policies extending t</w:t>
      </w:r>
      <w:r>
        <w:rPr>
          <w:rFonts w:ascii="Source Sans Pro" w:eastAsia="Source Sans Pro" w:hAnsi="Source Sans Pro" w:cs="Source Sans Pro"/>
          <w:highlight w:val="white"/>
        </w:rPr>
        <w:t>he coverage to loss when adjacent or nearby premises are closed down by order of civil authority, prohibiting occupancy of the insured's premises; usually applies for up to two, or after a waiting period, three weeks.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 xml:space="preserve">CIVIL AUTHORITY PROHIBITS USE: </w:t>
      </w:r>
      <w:r>
        <w:rPr>
          <w:rFonts w:ascii="Source Sans Pro" w:eastAsia="Source Sans Pro" w:hAnsi="Source Sans Pro" w:cs="Source Sans Pro"/>
          <w:highlight w:val="white"/>
        </w:rPr>
        <w:t xml:space="preserve">When a </w:t>
      </w:r>
      <w:r>
        <w:rPr>
          <w:rFonts w:ascii="Source Sans Pro" w:eastAsia="Source Sans Pro" w:hAnsi="Source Sans Pro" w:cs="Source Sans Pro"/>
          <w:highlight w:val="white"/>
        </w:rPr>
        <w:t>civil authority prohibits one from use of the "residence premises" as a result of direct damage to neighboring premises by a Peril Insured Against, insurance coverage is provided through Additional Living Expense (ALE) and Fair Rental Value.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CLAIM:</w:t>
      </w:r>
      <w:r>
        <w:rPr>
          <w:rFonts w:ascii="Source Sans Pro" w:eastAsia="Source Sans Pro" w:hAnsi="Source Sans Pro" w:cs="Source Sans Pro"/>
          <w:highlight w:val="white"/>
        </w:rPr>
        <w:t xml:space="preserve"> A reque</w:t>
      </w:r>
      <w:r>
        <w:rPr>
          <w:rFonts w:ascii="Source Sans Pro" w:eastAsia="Source Sans Pro" w:hAnsi="Source Sans Pro" w:cs="Source Sans Pro"/>
          <w:highlight w:val="white"/>
        </w:rPr>
        <w:t>st made by the insured for the insurer to pay for a loss that’s covered under the insuring agreement (policy).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COINSURANCE:</w:t>
      </w:r>
      <w:r>
        <w:rPr>
          <w:rFonts w:ascii="Source Sans Pro" w:eastAsia="Source Sans Pro" w:hAnsi="Source Sans Pro" w:cs="Source Sans Pro"/>
          <w:highlight w:val="white"/>
        </w:rPr>
        <w:t xml:space="preserve"> A clause contained in most property insurance policies to encourage policyholders to carry a reasonable amount of insurance. If the </w:t>
      </w:r>
      <w:r>
        <w:rPr>
          <w:rFonts w:ascii="Source Sans Pro" w:eastAsia="Source Sans Pro" w:hAnsi="Source Sans Pro" w:cs="Source Sans Pro"/>
          <w:highlight w:val="white"/>
        </w:rPr>
        <w:t>insured fails to maintain the amount specified in the clause (usually at least 80 percent), the insured shares a higher proportion of the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COMBINED RATIO:</w:t>
      </w:r>
      <w:r>
        <w:rPr>
          <w:rFonts w:ascii="Source Sans Pro" w:eastAsia="Source Sans Pro" w:hAnsi="Source Sans Pro" w:cs="Source Sans Pro"/>
          <w:highlight w:val="white"/>
        </w:rPr>
        <w:t xml:space="preserve"> An indication of the profitability of an insurance company, calculated by adding the loss and ex</w:t>
      </w:r>
      <w:r>
        <w:rPr>
          <w:rFonts w:ascii="Source Sans Pro" w:eastAsia="Source Sans Pro" w:hAnsi="Source Sans Pro" w:cs="Source Sans Pro"/>
          <w:highlight w:val="white"/>
        </w:rPr>
        <w:t>pense ratios.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 xml:space="preserve">CONSTRUCTIVE TOTAL LOSS: </w:t>
      </w:r>
      <w:r>
        <w:rPr>
          <w:rFonts w:ascii="Source Sans Pro" w:eastAsia="Source Sans Pro" w:hAnsi="Source Sans Pro" w:cs="Source Sans Pro"/>
          <w:highlight w:val="white"/>
        </w:rPr>
        <w:t xml:space="preserve">Varies from state to state, but generally describes property damage loss that is treated as a total loss </w:t>
      </w:r>
      <w:r>
        <w:rPr>
          <w:highlight w:val="white"/>
        </w:rPr>
        <w:t>where the cost of a repair is more than the damaged item’s current value. For example, an insurance claim that i</w:t>
      </w:r>
      <w:r>
        <w:rPr>
          <w:highlight w:val="white"/>
        </w:rPr>
        <w:t>s settled for the entire amount of a property on the basis that the cost to repair or recover the damaged property exceeds its replacement cost or market value.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CONTENTS MANIPULATION:</w:t>
      </w:r>
      <w:r>
        <w:rPr>
          <w:highlight w:val="white"/>
        </w:rPr>
        <w:t xml:space="preserve"> </w:t>
      </w:r>
      <w:r>
        <w:rPr>
          <w:rFonts w:ascii="Source Sans Pro" w:eastAsia="Source Sans Pro" w:hAnsi="Source Sans Pro" w:cs="Source Sans Pro"/>
          <w:highlight w:val="white"/>
        </w:rPr>
        <w:t>Handling and positioning of furniture and other personal property requir</w:t>
      </w:r>
      <w:r>
        <w:rPr>
          <w:rFonts w:ascii="Source Sans Pro" w:eastAsia="Source Sans Pro" w:hAnsi="Source Sans Pro" w:cs="Source Sans Pro"/>
          <w:highlight w:val="white"/>
        </w:rPr>
        <w:t>ed during the course of repairs.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CONTENTS:</w:t>
      </w:r>
      <w:r>
        <w:rPr>
          <w:highlight w:val="white"/>
        </w:rPr>
        <w:t xml:space="preserve"> </w:t>
      </w:r>
      <w:r>
        <w:rPr>
          <w:rFonts w:ascii="Source Sans Pro" w:eastAsia="Source Sans Pro" w:hAnsi="Source Sans Pro" w:cs="Source Sans Pro"/>
          <w:highlight w:val="white"/>
        </w:rPr>
        <w:t>Personal property, or items contained within a building, as distinguished from the building itself, for purposes of insurance.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Roboto" w:eastAsia="Roboto" w:hAnsi="Roboto" w:cs="Roboto"/>
          <w:b/>
          <w:i/>
          <w:color w:val="D45F4A"/>
          <w:sz w:val="24"/>
          <w:szCs w:val="24"/>
          <w:highlight w:val="white"/>
        </w:rPr>
      </w:pPr>
      <w:r>
        <w:rPr>
          <w:rFonts w:ascii="Roboto" w:eastAsia="Roboto" w:hAnsi="Roboto" w:cs="Roboto"/>
          <w:b/>
          <w:i/>
          <w:color w:val="D45F4A"/>
          <w:sz w:val="24"/>
          <w:szCs w:val="24"/>
          <w:highlight w:val="white"/>
        </w:rPr>
        <w:t>PROPERTY COVERAGES:</w:t>
      </w:r>
      <w:r>
        <w:rPr>
          <w:rFonts w:ascii="Source Sans Pro" w:eastAsia="Source Sans Pro" w:hAnsi="Source Sans Pro" w:cs="Source Sans Pro"/>
          <w:highlight w:val="white"/>
        </w:rPr>
        <w:t xml:space="preserve"> In a homeowners insurance policy, the various coverages are listed in </w:t>
      </w:r>
      <w:r>
        <w:rPr>
          <w:rFonts w:ascii="Source Sans Pro" w:eastAsia="Source Sans Pro" w:hAnsi="Source Sans Pro" w:cs="Source Sans Pro"/>
          <w:b/>
          <w:highlight w:val="white"/>
        </w:rPr>
        <w:t>Property Coverages Section 1</w:t>
      </w:r>
      <w:r>
        <w:rPr>
          <w:rFonts w:ascii="Source Sans Pro" w:eastAsia="Source Sans Pro" w:hAnsi="Source Sans Pro" w:cs="Source Sans Pro"/>
          <w:highlight w:val="white"/>
        </w:rPr>
        <w:t>. Not all insurance companies list these the same way,* but standard ISO forms use the following format:</w:t>
      </w:r>
    </w:p>
    <w:p w:rsidR="00486112" w:rsidRDefault="004B6AE2">
      <w:pPr>
        <w:numPr>
          <w:ilvl w:val="0"/>
          <w:numId w:val="2"/>
        </w:num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Source Sans Pro" w:eastAsia="Source Sans Pro" w:hAnsi="Source Sans Pro" w:cs="Source Sans Pro"/>
          <w:b/>
          <w:highlight w:val="white"/>
        </w:rPr>
        <w:t>COVERAGE A - DWELLING</w:t>
      </w:r>
      <w:r>
        <w:rPr>
          <w:rFonts w:ascii="Source Sans Pro" w:eastAsia="Source Sans Pro" w:hAnsi="Source Sans Pro" w:cs="Source Sans Pro"/>
          <w:highlight w:val="white"/>
        </w:rPr>
        <w:t xml:space="preserve"> is the part of your homeowners</w:t>
      </w:r>
      <w:r>
        <w:rPr>
          <w:rFonts w:ascii="Source Sans Pro" w:eastAsia="Source Sans Pro" w:hAnsi="Source Sans Pro" w:cs="Source Sans Pro"/>
          <w:highlight w:val="white"/>
        </w:rPr>
        <w:t xml:space="preserve"> insurance policy that helps pay for the rebuilding or the repair of the physical structure of your home if it's damaged by a covered hazard.</w:t>
      </w:r>
    </w:p>
    <w:p w:rsidR="00486112" w:rsidRDefault="004B6AE2">
      <w:pPr>
        <w:numPr>
          <w:ilvl w:val="0"/>
          <w:numId w:val="2"/>
        </w:num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Source Sans Pro" w:eastAsia="Source Sans Pro" w:hAnsi="Source Sans Pro" w:cs="Source Sans Pro"/>
          <w:b/>
          <w:highlight w:val="white"/>
        </w:rPr>
        <w:t>COVERAGE B - OTHER STRUCTURES</w:t>
      </w:r>
      <w:r>
        <w:rPr>
          <w:rFonts w:ascii="Source Sans Pro" w:eastAsia="Source Sans Pro" w:hAnsi="Source Sans Pro" w:cs="Source Sans Pro"/>
          <w:highlight w:val="white"/>
        </w:rPr>
        <w:t>: Coverage B Damage is the part of your homeowners insurance policy that helps pay fo</w:t>
      </w:r>
      <w:r>
        <w:rPr>
          <w:rFonts w:ascii="Source Sans Pro" w:eastAsia="Source Sans Pro" w:hAnsi="Source Sans Pro" w:cs="Source Sans Pro"/>
          <w:highlight w:val="white"/>
        </w:rPr>
        <w:t>r damage to other structures or buildings apart from the dwelling such as a detached garage, work shed, or fencing.</w:t>
      </w:r>
    </w:p>
    <w:p w:rsidR="00486112" w:rsidRDefault="004B6AE2">
      <w:pPr>
        <w:numPr>
          <w:ilvl w:val="0"/>
          <w:numId w:val="2"/>
        </w:num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Source Sans Pro" w:eastAsia="Source Sans Pro" w:hAnsi="Source Sans Pro" w:cs="Source Sans Pro"/>
          <w:b/>
          <w:highlight w:val="white"/>
        </w:rPr>
        <w:t>COVERAGE C - PERSONAL PROPERTY</w:t>
      </w:r>
      <w:r>
        <w:rPr>
          <w:rFonts w:ascii="Source Sans Pro" w:eastAsia="Source Sans Pro" w:hAnsi="Source Sans Pro" w:cs="Source Sans Pro"/>
          <w:highlight w:val="white"/>
        </w:rPr>
        <w:t>: Coverage C is the part of your homeowners insurance policy that helps pay for damage to, or loss of personal</w:t>
      </w:r>
      <w:r>
        <w:rPr>
          <w:rFonts w:ascii="Source Sans Pro" w:eastAsia="Source Sans Pro" w:hAnsi="Source Sans Pro" w:cs="Source Sans Pro"/>
          <w:highlight w:val="white"/>
        </w:rPr>
        <w:t xml:space="preserve"> property, including household contents and other personal belongings used, owned or worn by you and your family.</w:t>
      </w:r>
    </w:p>
    <w:p w:rsidR="00486112" w:rsidRDefault="004B6AE2">
      <w:pPr>
        <w:numPr>
          <w:ilvl w:val="0"/>
          <w:numId w:val="2"/>
        </w:num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Source Sans Pro" w:eastAsia="Source Sans Pro" w:hAnsi="Source Sans Pro" w:cs="Source Sans Pro"/>
          <w:b/>
          <w:highlight w:val="white"/>
        </w:rPr>
        <w:t>COVERAGE D - LOSS OF USE</w:t>
      </w:r>
      <w:r>
        <w:rPr>
          <w:rFonts w:ascii="Source Sans Pro" w:eastAsia="Source Sans Pro" w:hAnsi="Source Sans Pro" w:cs="Source Sans Pro"/>
          <w:highlight w:val="white"/>
        </w:rPr>
        <w:t>: Coverage D is a series of coverages that pay when a residence cannot be lived in because of damage caused by an insu</w:t>
      </w:r>
      <w:r>
        <w:rPr>
          <w:rFonts w:ascii="Source Sans Pro" w:eastAsia="Source Sans Pro" w:hAnsi="Source Sans Pro" w:cs="Source Sans Pro"/>
          <w:highlight w:val="white"/>
        </w:rPr>
        <w:t>red peril. The coverages include Additional Living Expense (ALE), Fair Rental Value and Civil Authority Prohibits Use. Coverage is normally limited to a percentage of the policy limits, 15 percent, or time-limited (12 months). Check policy or ask agent for</w:t>
      </w:r>
      <w:r>
        <w:rPr>
          <w:rFonts w:ascii="Source Sans Pro" w:eastAsia="Source Sans Pro" w:hAnsi="Source Sans Pro" w:cs="Source Sans Pro"/>
          <w:highlight w:val="white"/>
        </w:rPr>
        <w:t xml:space="preserve"> details. </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i/>
          <w:highlight w:val="white"/>
        </w:rPr>
      </w:pPr>
      <w:r>
        <w:rPr>
          <w:rFonts w:ascii="Source Sans Pro" w:eastAsia="Source Sans Pro" w:hAnsi="Source Sans Pro" w:cs="Source Sans Pro"/>
          <w:highlight w:val="white"/>
        </w:rPr>
        <w:t xml:space="preserve">* </w:t>
      </w:r>
      <w:r>
        <w:rPr>
          <w:rFonts w:ascii="Source Sans Pro" w:eastAsia="Source Sans Pro" w:hAnsi="Source Sans Pro" w:cs="Source Sans Pro"/>
          <w:i/>
          <w:highlight w:val="white"/>
        </w:rPr>
        <w:t>Check your policy to verify its format. For example, State Farm includes “Other Structures” with Coverage A-Dwelling, then assigns Coverage B for Personal Property and Coverage C for Loss of Use.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DATE OF ISSUE:</w:t>
      </w:r>
      <w:r>
        <w:rPr>
          <w:rFonts w:ascii="Source Sans Pro" w:eastAsia="Source Sans Pro" w:hAnsi="Source Sans Pro" w:cs="Source Sans Pro"/>
          <w:highlight w:val="white"/>
        </w:rPr>
        <w:t xml:space="preserve"> Date when an insurance company issues a policy.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DECLARATIONS:</w:t>
      </w:r>
      <w:r>
        <w:rPr>
          <w:rFonts w:ascii="Source Sans Pro" w:eastAsia="Source Sans Pro" w:hAnsi="Source Sans Pro" w:cs="Source Sans Pro"/>
          <w:highlight w:val="white"/>
        </w:rPr>
        <w:t xml:space="preserve"> The front page(s) of an insurance policy that specifies the name of the insured, address, policy period, location of premises, policy limits, and other key information. Also known as the inform</w:t>
      </w:r>
      <w:r>
        <w:rPr>
          <w:rFonts w:ascii="Source Sans Pro" w:eastAsia="Source Sans Pro" w:hAnsi="Source Sans Pro" w:cs="Source Sans Pro"/>
          <w:highlight w:val="white"/>
        </w:rPr>
        <w:t>ation page, the "dec" or "dec page".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DEDUCTIBLE:</w:t>
      </w:r>
      <w:r>
        <w:rPr>
          <w:highlight w:val="white"/>
        </w:rPr>
        <w:t xml:space="preserve"> </w:t>
      </w:r>
      <w:r>
        <w:rPr>
          <w:rFonts w:ascii="Source Sans Pro" w:eastAsia="Source Sans Pro" w:hAnsi="Source Sans Pro" w:cs="Source Sans Pro"/>
          <w:highlight w:val="white"/>
        </w:rPr>
        <w:t>An amount specified in an insurance policy which is automatically subtracted from any settlement following a loss. The deductible is applicable to every occurrence of a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DEMOLITION INSURANCE:</w:t>
      </w:r>
      <w:r>
        <w:rPr>
          <w:highlight w:val="white"/>
        </w:rPr>
        <w:t xml:space="preserve"> </w:t>
      </w:r>
      <w:r>
        <w:rPr>
          <w:rFonts w:ascii="Source Sans Pro" w:eastAsia="Source Sans Pro" w:hAnsi="Source Sans Pro" w:cs="Source Sans Pro"/>
          <w:highlight w:val="white"/>
        </w:rPr>
        <w:t>One of the</w:t>
      </w:r>
      <w:r>
        <w:rPr>
          <w:rFonts w:ascii="Source Sans Pro" w:eastAsia="Source Sans Pro" w:hAnsi="Source Sans Pro" w:cs="Source Sans Pro"/>
          <w:highlight w:val="white"/>
        </w:rPr>
        <w:t xml:space="preserve"> three Ordinance or Law coverages, insuring the cost of demolition and site clearance of the undamaged portions of a damaged building when demolition is required by ordinance or law.</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 xml:space="preserve">DEPRECIATION: </w:t>
      </w:r>
      <w:r>
        <w:rPr>
          <w:rFonts w:ascii="Source Sans Pro" w:eastAsia="Source Sans Pro" w:hAnsi="Source Sans Pro" w:cs="Source Sans Pro"/>
          <w:highlight w:val="white"/>
        </w:rPr>
        <w:t>The diminished value of an item based on its age, condition</w:t>
      </w:r>
      <w:r>
        <w:rPr>
          <w:rFonts w:ascii="Source Sans Pro" w:eastAsia="Source Sans Pro" w:hAnsi="Source Sans Pro" w:cs="Source Sans Pro"/>
          <w:highlight w:val="white"/>
        </w:rPr>
        <w:t>, or wear and tear. Depreciation is subtracted from an item’s replacement cost to determine Actual Cash Value (ACV).</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DIRECT INCURRED LOSS:</w:t>
      </w:r>
      <w:r>
        <w:rPr>
          <w:highlight w:val="white"/>
        </w:rPr>
        <w:t xml:space="preserve"> A l</w:t>
      </w:r>
      <w:r>
        <w:rPr>
          <w:rFonts w:ascii="Source Sans Pro" w:eastAsia="Source Sans Pro" w:hAnsi="Source Sans Pro" w:cs="Source Sans Pro"/>
          <w:highlight w:val="white"/>
        </w:rPr>
        <w:t>oss whereby the proximate cause is equivalent to the insured peril.</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DIRECT LOSS:</w:t>
      </w:r>
      <w:r>
        <w:rPr>
          <w:highlight w:val="white"/>
        </w:rPr>
        <w:t xml:space="preserve"> </w:t>
      </w:r>
      <w:r>
        <w:rPr>
          <w:rFonts w:ascii="Source Sans Pro" w:eastAsia="Source Sans Pro" w:hAnsi="Source Sans Pro" w:cs="Source Sans Pro"/>
          <w:highlight w:val="white"/>
        </w:rPr>
        <w:t>Damage to covered real or persona</w:t>
      </w:r>
      <w:r>
        <w:rPr>
          <w:rFonts w:ascii="Source Sans Pro" w:eastAsia="Source Sans Pro" w:hAnsi="Source Sans Pro" w:cs="Source Sans Pro"/>
          <w:highlight w:val="white"/>
        </w:rPr>
        <w:t>l property caused by a covered peril.</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DUTIES AFTER A LOSS:</w:t>
      </w:r>
      <w:r>
        <w:rPr>
          <w:highlight w:val="white"/>
        </w:rPr>
        <w:t xml:space="preserve"> A series of responsibilities and duties of the insured required by the insurance company after a loss. These duties, spelled out in the policy, typically include such actions as:</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Take all reasonabl</w:t>
      </w:r>
      <w:r>
        <w:rPr>
          <w:highlight w:val="white"/>
        </w:rPr>
        <w:t>e steps to protect the property from further damage.</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Give your insurance company prompt notice of the loss.</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Provide information.</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Take an inventory of personal property.</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Give an examination under oath.</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Cooperate.</w:t>
      </w:r>
    </w:p>
    <w:p w:rsidR="00486112" w:rsidRDefault="004B6AE2">
      <w:pPr>
        <w:numPr>
          <w:ilvl w:val="0"/>
          <w:numId w:val="1"/>
        </w:num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contextualSpacing/>
        <w:rPr>
          <w:highlight w:val="white"/>
        </w:rPr>
      </w:pPr>
      <w:r>
        <w:rPr>
          <w:highlight w:val="white"/>
        </w:rPr>
        <w:t>Provide proof of loss.</w:t>
      </w:r>
    </w:p>
    <w:p w:rsidR="00486112" w:rsidRDefault="00486112">
      <w:pPr>
        <w:pBdr>
          <w:top w:val="none" w:sz="0" w:space="0" w:color="auto"/>
          <w:left w:val="none" w:sz="0" w:space="6" w:color="auto"/>
          <w:bottom w:val="none" w:sz="0" w:space="0" w:color="auto"/>
          <w:right w:val="none" w:sz="0" w:space="0" w:color="auto"/>
          <w:between w:val="none" w:sz="0" w:space="0" w:color="auto"/>
        </w:pBdr>
        <w:shd w:val="clear" w:color="auto" w:fill="FFFFFF"/>
        <w:spacing w:line="240" w:lineRule="auto"/>
        <w:rPr>
          <w:highlight w:val="white"/>
        </w:rPr>
      </w:pP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DWELLING:</w:t>
      </w:r>
      <w:r>
        <w:rPr>
          <w:highlight w:val="white"/>
        </w:rPr>
        <w:t xml:space="preserve"> Homeowners insurance term denoting the structure on the residence premises that is listed in the declarations and used principally as a private residence, including attached structures.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EFFECTIVE DATE:</w:t>
      </w:r>
      <w:r>
        <w:rPr>
          <w:highlight w:val="white"/>
        </w:rPr>
        <w:t xml:space="preserve"> Date at which an insurance policy goes into force.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EN</w:t>
      </w:r>
      <w:r>
        <w:rPr>
          <w:rFonts w:ascii="Roboto" w:eastAsia="Roboto" w:hAnsi="Roboto" w:cs="Roboto"/>
          <w:b/>
          <w:i/>
          <w:color w:val="D45F4A"/>
          <w:sz w:val="24"/>
          <w:szCs w:val="24"/>
          <w:highlight w:val="white"/>
        </w:rPr>
        <w:t>DORSEMENT:</w:t>
      </w:r>
      <w:r>
        <w:rPr>
          <w:highlight w:val="white"/>
        </w:rPr>
        <w:t xml:space="preserve"> A written addendum or rider to an insurance policy which amplifies, restricts or modifies the original provisions.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EXAMINATION UNDER OATH (EUO):</w:t>
      </w:r>
      <w:r>
        <w:rPr>
          <w:highlight w:val="white"/>
        </w:rPr>
        <w:t xml:space="preserve"> A condition of the insurance policy that compels the insured to appear and give sworn testimony on t</w:t>
      </w:r>
      <w:r>
        <w:rPr>
          <w:highlight w:val="white"/>
        </w:rPr>
        <w:t xml:space="preserve">he demand of the insurer. This allows an insurer to cross-examine the proofs of loss to avoid potential fraud. Its purpose is to enable the insurer to obtain the information necessary to process the claim. A certified court reporter and notary are present </w:t>
      </w:r>
      <w:r>
        <w:rPr>
          <w:highlight w:val="white"/>
        </w:rPr>
        <w:t>to give the oath to the witness and take down all of the words spoken during the interview.</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EXCLUSIONS:</w:t>
      </w:r>
      <w:r>
        <w:rPr>
          <w:rFonts w:ascii="Source Sans Pro" w:eastAsia="Source Sans Pro" w:hAnsi="Source Sans Pro" w:cs="Source Sans Pro"/>
          <w:highlight w:val="white"/>
        </w:rPr>
        <w:t xml:space="preserve"> </w:t>
      </w:r>
      <w:r>
        <w:rPr>
          <w:highlight w:val="white"/>
        </w:rPr>
        <w:t xml:space="preserve">A policy provision that eliminates coverage for some type of risk. Exclusions narrow the scope of coverage provided by the insuring agreement (policy). </w:t>
      </w:r>
      <w:r>
        <w:rPr>
          <w:highlight w:val="white"/>
        </w:rPr>
        <w:t>In many insurance policies, the insuring agreement is very broad. Insurers utilize exclusions to carve away coverage for risks they are unwilling to insure.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 xml:space="preserve">FAIR RENTAL VALUE: </w:t>
      </w:r>
      <w:r>
        <w:rPr>
          <w:highlight w:val="white"/>
        </w:rPr>
        <w:t>Part of “Loss of Use” coverage under a homeowners policy, pays for the lost rent</w:t>
      </w:r>
      <w:r>
        <w:rPr>
          <w:highlight w:val="white"/>
        </w:rPr>
        <w:t xml:space="preserve"> when the insured rents all or part of a home that becomes uninhabitable due to damage from a covered peril. Any expenses that do not continue while the home is uninhabitable, like electricity, are then subtracted from the fair rental value. Payment is for</w:t>
      </w:r>
      <w:r>
        <w:rPr>
          <w:highlight w:val="white"/>
        </w:rPr>
        <w:t xml:space="preserve"> the shortest time required to repair or replace such premises.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FLOATER:</w:t>
      </w:r>
      <w:r>
        <w:rPr>
          <w:highlight w:val="white"/>
        </w:rPr>
        <w:t xml:space="preserve"> A separate policy available to cover the value of goods beyond the coverage of a standard insurance policy including movable property such as jewelry or sports equipment.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FLOOD EXCLUS</w:t>
      </w:r>
      <w:r>
        <w:rPr>
          <w:rFonts w:ascii="Roboto" w:eastAsia="Roboto" w:hAnsi="Roboto" w:cs="Roboto"/>
          <w:b/>
          <w:i/>
          <w:color w:val="D45F4A"/>
          <w:sz w:val="24"/>
          <w:szCs w:val="24"/>
          <w:highlight w:val="white"/>
        </w:rPr>
        <w:t>ION:</w:t>
      </w:r>
      <w:r>
        <w:rPr>
          <w:highlight w:val="white"/>
        </w:rPr>
        <w:t xml:space="preserve"> The exclusion common to most property policies forcing the insured, if flood coverage is to be provided, to purchase separate flood insurance usually through the federal government’s National Flood Insurance Program/FEMA.</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FLOOD INSURANCE:</w:t>
      </w:r>
      <w:r>
        <w:rPr>
          <w:highlight w:val="white"/>
        </w:rPr>
        <w:t xml:space="preserve"> Coverage, pr</w:t>
      </w:r>
      <w:r>
        <w:rPr>
          <w:highlight w:val="white"/>
        </w:rPr>
        <w:t>incipally through the federal government’s National Flood Insurance Program (NFIP)/FEMA, protecting against flood and similar water damage, excluded from most property insurance policies.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GUARANTEED RENEWABLE:</w:t>
      </w:r>
      <w:r>
        <w:rPr>
          <w:highlight w:val="white"/>
        </w:rPr>
        <w:t xml:space="preserve"> A policy provision that guarantees the policyo</w:t>
      </w:r>
      <w:r>
        <w:rPr>
          <w:highlight w:val="white"/>
        </w:rPr>
        <w:t>wner the right to renew coverage at every policy anniversary date. The company does not have the right to cancel coverage except for nonpayment of premiums by the policyowner; however, the company can raise rates if they choose.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HOMEOWNERS INSURANCE:</w:t>
      </w:r>
      <w:r>
        <w:rPr>
          <w:highlight w:val="white"/>
        </w:rPr>
        <w:t xml:space="preserve"> A pac</w:t>
      </w:r>
      <w:r>
        <w:rPr>
          <w:highlight w:val="white"/>
        </w:rPr>
        <w:t>kage policy combining real and personal property coverage with personal liability coverage. Coverage applicable to the dwelling, other structures, unscheduled personal property and additional living expense are typical.</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INDEMNITY:</w:t>
      </w:r>
      <w:r>
        <w:rPr>
          <w:highlight w:val="white"/>
        </w:rPr>
        <w:t xml:space="preserve"> A general legal principle</w:t>
      </w:r>
      <w:r>
        <w:rPr>
          <w:highlight w:val="white"/>
        </w:rPr>
        <w:t xml:space="preserve"> that the individual recovering under an insurance policy should be restored to the approximate financial position he or she was in prior to the loss. Legal principle limiting compensation for damages be equivalent to the losses incurred.</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INDEPENDENT AGENT</w:t>
      </w:r>
      <w:r>
        <w:rPr>
          <w:rFonts w:ascii="Roboto" w:eastAsia="Roboto" w:hAnsi="Roboto" w:cs="Roboto"/>
          <w:b/>
          <w:i/>
          <w:color w:val="D45F4A"/>
          <w:sz w:val="24"/>
          <w:szCs w:val="24"/>
          <w:highlight w:val="white"/>
        </w:rPr>
        <w:t>:</w:t>
      </w:r>
      <w:r>
        <w:rPr>
          <w:highlight w:val="white"/>
        </w:rPr>
        <w:t xml:space="preserve"> An individual who sells, services or negotiates insurance policies for multiple insurance companies.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INLAND MARINE:</w:t>
      </w:r>
      <w:r>
        <w:rPr>
          <w:highlight w:val="white"/>
        </w:rPr>
        <w:t xml:space="preserve"> Insurance for property in transit over instrumentalities of transportation and communication (such as bridges, tunnels, piers, wharves, do</w:t>
      </w:r>
      <w:r>
        <w:rPr>
          <w:highlight w:val="white"/>
        </w:rPr>
        <w:t>cks, pipelines, power and phone lines, and radio and television towers), and legal liability exposures of bailees. Many inland marine coverage forms provide coverage without regard to the location of the covered property; these are sometimes called "floate</w:t>
      </w:r>
      <w:r>
        <w:rPr>
          <w:highlight w:val="white"/>
        </w:rPr>
        <w:t>r" policies. As a group, inland marine coverage forms are generally broader than property coverage forms.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INSURANCE COMMISSIONER:</w:t>
      </w:r>
      <w:r>
        <w:rPr>
          <w:highlight w:val="white"/>
        </w:rPr>
        <w:t xml:space="preserve"> A state-level position in all 50 states whose general role is as a consumer protection advocate and insurance regulator. The p</w:t>
      </w:r>
      <w:r>
        <w:rPr>
          <w:highlight w:val="white"/>
        </w:rPr>
        <w:t>osition is elected in 11 states and appointed in 39.</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INSURED:</w:t>
      </w:r>
      <w:r>
        <w:rPr>
          <w:b/>
          <w:highlight w:val="white"/>
        </w:rPr>
        <w:t xml:space="preserve"> </w:t>
      </w:r>
      <w:r>
        <w:rPr>
          <w:highlight w:val="white"/>
        </w:rPr>
        <w:t>The person, group, or organization whose life or property is covered by an insurance policy. Residents of your household who are your relatives; or other persons under the age of 21 and in the care of any person named above; a student enrolled in school fu</w:t>
      </w:r>
      <w:r>
        <w:rPr>
          <w:highlight w:val="white"/>
        </w:rPr>
        <w:t>ll time, as defined by the school, who was a resident of your household before moving out to at­tend school (under the age of 24 and your relative) or 21 and in your care.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INSURED LOCATION:</w:t>
      </w:r>
      <w:r>
        <w:rPr>
          <w:highlight w:val="white"/>
        </w:rPr>
        <w:t xml:space="preserve"> The "residence premises" which is shown in the policy declarations</w:t>
      </w:r>
      <w:r>
        <w:rPr>
          <w:highlight w:val="white"/>
        </w:rPr>
        <w:t>, or the part of other premises used by the named insured as a residence and shown in the policy declarations, or acquired by the insured for residential use during the policy period.</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INSURER:</w:t>
      </w:r>
      <w:r>
        <w:rPr>
          <w:highlight w:val="white"/>
        </w:rPr>
        <w:t xml:space="preserve"> A party authorized to write property and/or casualty insurance </w:t>
      </w:r>
      <w:r>
        <w:rPr>
          <w:highlight w:val="white"/>
        </w:rPr>
        <w:t>under the laws of any state.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LAPSE:</w:t>
      </w:r>
      <w:r>
        <w:rPr>
          <w:highlight w:val="white"/>
        </w:rPr>
        <w:t xml:space="preserve"> Termination of a policy caused by failure to pay the required renewal premium.</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LOSS:</w:t>
      </w:r>
      <w:r>
        <w:rPr>
          <w:highlight w:val="white"/>
        </w:rPr>
        <w:t xml:space="preserve"> Physical damage to property or bodily injury, Including loss of use or loss of income.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MUTUAL INSURANCE COMPANY:</w:t>
      </w:r>
      <w:r>
        <w:rPr>
          <w:highlight w:val="white"/>
        </w:rPr>
        <w:t xml:space="preserve"> A privately held insur</w:t>
      </w:r>
      <w:r>
        <w:rPr>
          <w:highlight w:val="white"/>
        </w:rPr>
        <w:t>er owned by its policyholders, operated as a non-profit that may or may not be incorporated.</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NAMED INSURED:</w:t>
      </w:r>
      <w:r>
        <w:rPr>
          <w:rFonts w:ascii="Source Sans Pro" w:eastAsia="Source Sans Pro" w:hAnsi="Source Sans Pro" w:cs="Source Sans Pro"/>
          <w:highlight w:val="white"/>
        </w:rPr>
        <w:t xml:space="preserve"> </w:t>
      </w:r>
      <w:r>
        <w:rPr>
          <w:highlight w:val="white"/>
        </w:rPr>
        <w:t>The individual defined as the insured in the policy contract.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NATIONAL ASSOCIATION OF PUBLIC INSURANCE ADJUSTERS (NAPIA):</w:t>
      </w:r>
      <w:r>
        <w:rPr>
          <w:highlight w:val="white"/>
        </w:rPr>
        <w:t xml:space="preserve"> National trade organizatio</w:t>
      </w:r>
      <w:r>
        <w:rPr>
          <w:highlight w:val="white"/>
        </w:rPr>
        <w:t>n of public adjusters that advocates for continuing education and a high standard of professional conduct and ethics among its members.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OCCURRENCE:</w:t>
      </w:r>
      <w:r>
        <w:rPr>
          <w:highlight w:val="white"/>
        </w:rPr>
        <w:t xml:space="preserve"> </w:t>
      </w:r>
      <w:r>
        <w:rPr>
          <w:highlight w:val="white"/>
        </w:rPr>
        <w:t>"Occurrence" means an accident, including continuous or repeated exposure to substantially the same general harmful conditions, which results, during the policy period, in bodily injury or property damage.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PERIL:</w:t>
      </w:r>
      <w:r>
        <w:rPr>
          <w:highlight w:val="white"/>
        </w:rPr>
        <w:t xml:space="preserve"> The cause of property damage or personal in</w:t>
      </w:r>
      <w:r>
        <w:rPr>
          <w:highlight w:val="white"/>
        </w:rPr>
        <w:t>jury. "Cause of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PERSONAL PROPERTY:</w:t>
      </w:r>
      <w:r>
        <w:rPr>
          <w:highlight w:val="white"/>
        </w:rPr>
        <w:t xml:space="preserve"> Sometimes referred to as “Contents,” any asset other than real estate; a moveable asset, that is, not fixed permanently to one location as with real property, such as land or buildings. Personal property includes h</w:t>
      </w:r>
      <w:r>
        <w:rPr>
          <w:highlight w:val="white"/>
        </w:rPr>
        <w:t>ousehold contents and other personal belongings used, owned or worn by you and your family.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PHYSICAL HAZARD:</w:t>
      </w:r>
      <w:r>
        <w:rPr>
          <w:highlight w:val="white"/>
        </w:rPr>
        <w:t xml:space="preserve"> The features of a property that are vulnerable to damage. Building construction, electrical wiring and the heating/cooling system are examples of p</w:t>
      </w:r>
      <w:r>
        <w:rPr>
          <w:highlight w:val="white"/>
        </w:rPr>
        <w:t>hysical hazards.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POLICY EXCLUSION:</w:t>
      </w:r>
      <w:r>
        <w:rPr>
          <w:highlight w:val="white"/>
        </w:rPr>
        <w:t xml:space="preserve"> A peril or category of property which an insurance policy specifically excludes from coverage.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POLICY LIMITS:</w:t>
      </w:r>
      <w:r>
        <w:rPr>
          <w:highlight w:val="white"/>
        </w:rPr>
        <w:t xml:space="preserve"> In an insurance policy, the maximum dollar amount of insurance provided for a particular coverage.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POLICY PERIO</w:t>
      </w:r>
      <w:r>
        <w:rPr>
          <w:rFonts w:ascii="Roboto" w:eastAsia="Roboto" w:hAnsi="Roboto" w:cs="Roboto"/>
          <w:b/>
          <w:i/>
          <w:color w:val="D45F4A"/>
          <w:sz w:val="24"/>
          <w:szCs w:val="24"/>
          <w:highlight w:val="white"/>
        </w:rPr>
        <w:t>D:</w:t>
      </w:r>
      <w:r>
        <w:rPr>
          <w:highlight w:val="white"/>
        </w:rPr>
        <w:t xml:space="preserve"> Time period during which insurance coverage is in effect.</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PREMIUM:</w:t>
      </w:r>
      <w:r>
        <w:rPr>
          <w:highlight w:val="white"/>
        </w:rPr>
        <w:t xml:space="preserve"> The money paid to an insurer by an insured that obligates the insurer to provide insurance coverage for claims made against the policy.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PROOF OF LOSS:</w:t>
      </w:r>
      <w:r>
        <w:rPr>
          <w:highlight w:val="white"/>
        </w:rPr>
        <w:t xml:space="preserve"> A signed, sworn, written statement </w:t>
      </w:r>
      <w:r>
        <w:rPr>
          <w:highlight w:val="white"/>
        </w:rPr>
        <w:t>submitted by the insured to the insurance company, containing specific required information about the loss, as a precondition to processing a claim. Proof of Loss statements are usually required to be submitted within 60 days of request and typically inclu</w:t>
      </w:r>
      <w:r>
        <w:rPr>
          <w:highlight w:val="white"/>
        </w:rPr>
        <w:t>de:</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The time and cause of loss</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The interests of all "insureds" and all others in the property involved and all liens on the property</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Other insurance which may cover the loss</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Changes in title or occupancy of the property during the term of the policy</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Specifications of damaged buildings and detailed repair estimates</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The inventory of damaged personal property</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Receipts for additional living expenses incurred and records that support the fair rental value loss</w:t>
      </w:r>
    </w:p>
    <w:p w:rsidR="00486112" w:rsidRDefault="004B6AE2">
      <w:pPr>
        <w:numPr>
          <w:ilvl w:val="0"/>
          <w:numId w:val="3"/>
        </w:numPr>
        <w:pBdr>
          <w:top w:val="none" w:sz="0" w:space="0" w:color="auto"/>
          <w:left w:val="none" w:sz="0" w:space="6" w:color="auto"/>
          <w:bottom w:val="none" w:sz="0" w:space="0" w:color="auto"/>
          <w:right w:val="none" w:sz="0" w:space="0" w:color="auto"/>
          <w:between w:val="none" w:sz="0" w:space="0" w:color="auto"/>
        </w:pBdr>
        <w:shd w:val="clear" w:color="auto" w:fill="FFFFFF"/>
        <w:spacing w:after="60"/>
        <w:contextualSpacing/>
        <w:rPr>
          <w:highlight w:val="white"/>
        </w:rPr>
      </w:pPr>
      <w:r>
        <w:rPr>
          <w:highlight w:val="white"/>
        </w:rPr>
        <w:t>Evidence or affidavit that supports a claim un</w:t>
      </w:r>
      <w:r>
        <w:rPr>
          <w:highlight w:val="white"/>
        </w:rPr>
        <w:t>der “E.6. Credit Card, Electronic Fund Transfer Card Or Access Device, Forgery and Counterfeit Money under Section I - Property Coverages”, stating the amount and cause of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 xml:space="preserve">PROPERTY: </w:t>
      </w:r>
      <w:r>
        <w:rPr>
          <w:highlight w:val="white"/>
        </w:rPr>
        <w:t>Anything that has value. There are two types: real property—land and</w:t>
      </w:r>
      <w:r>
        <w:rPr>
          <w:highlight w:val="white"/>
        </w:rPr>
        <w:t xml:space="preserve"> the permanent things on it, such as buildings, outdoor fixtures, machinery and equipment; and personal property—a moveable asset, that is, not fixed permanently to one location as with real property, including household contents and other personal belongi</w:t>
      </w:r>
      <w:r>
        <w:rPr>
          <w:highlight w:val="white"/>
        </w:rPr>
        <w:t>ngs used, owned or worn by you and your family.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PROVISIONS:</w:t>
      </w:r>
      <w:r>
        <w:rPr>
          <w:highlight w:val="white"/>
        </w:rPr>
        <w:t xml:space="preserve"> Contingencies outlined in an insurance policy that lay out the exact conditions for which coverage is provided and for what amounts, along with exclusions and other restrictions.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PUBLIC ADJUSTER:</w:t>
      </w:r>
      <w:r>
        <w:rPr>
          <w:highlight w:val="white"/>
        </w:rPr>
        <w:t xml:space="preserve"> </w:t>
      </w:r>
      <w:r>
        <w:rPr>
          <w:highlight w:val="white"/>
        </w:rPr>
        <w:t>A licensed claims adjuster who represents policyholders instead of insurance companies in the preparation and presentation of claims.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REINSURANCE:</w:t>
      </w:r>
      <w:r>
        <w:rPr>
          <w:highlight w:val="white"/>
        </w:rPr>
        <w:t xml:space="preserve"> Insurance for insurers, where the reinsurer agrees to cover all or part of the losses and/or loss adjustment </w:t>
      </w:r>
      <w:r>
        <w:rPr>
          <w:highlight w:val="white"/>
        </w:rPr>
        <w:t>expenses of the primary insurer.</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i/>
          <w:highlight w:val="white"/>
        </w:rPr>
      </w:pPr>
      <w:r>
        <w:rPr>
          <w:rFonts w:ascii="Roboto" w:eastAsia="Roboto" w:hAnsi="Roboto" w:cs="Roboto"/>
          <w:b/>
          <w:i/>
          <w:color w:val="D45F4A"/>
          <w:sz w:val="24"/>
          <w:szCs w:val="24"/>
          <w:highlight w:val="white"/>
        </w:rPr>
        <w:t>REPLACEMENT COST VALUE (RCV):</w:t>
      </w:r>
      <w:r>
        <w:rPr>
          <w:highlight w:val="white"/>
        </w:rPr>
        <w:t xml:space="preserve"> One of two primary methods of establishing the value of insured property that determines what an insurer will pay for a loss, RCV reflects the the cost to replace a damaged property with materi</w:t>
      </w:r>
      <w:r>
        <w:rPr>
          <w:highlight w:val="white"/>
        </w:rPr>
        <w:t xml:space="preserve">als of like kind and quality, without any deduction for depreciation. For personal property items, RCV reflects the current retail cost of replacing a damaged item. </w:t>
      </w:r>
      <w:r>
        <w:rPr>
          <w:i/>
          <w:highlight w:val="white"/>
        </w:rPr>
        <w:t>(Also see “Actual Cash Value-ACV”).</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RESERVE:</w:t>
      </w:r>
      <w:r>
        <w:rPr>
          <w:highlight w:val="white"/>
        </w:rPr>
        <w:t xml:space="preserve"> A portion of the premium retained to pay futur</w:t>
      </w:r>
      <w:r>
        <w:rPr>
          <w:highlight w:val="white"/>
        </w:rPr>
        <w:t>e claims.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SALVAGE:</w:t>
      </w:r>
      <w:r>
        <w:rPr>
          <w:highlight w:val="white"/>
        </w:rPr>
        <w:t xml:space="preserve"> The value recoverable after a loss.</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i/>
          <w:highlight w:val="white"/>
        </w:rPr>
      </w:pPr>
      <w:r>
        <w:rPr>
          <w:rFonts w:ascii="Roboto" w:eastAsia="Roboto" w:hAnsi="Roboto" w:cs="Roboto"/>
          <w:b/>
          <w:i/>
          <w:color w:val="D45F4A"/>
          <w:sz w:val="24"/>
          <w:szCs w:val="24"/>
          <w:highlight w:val="white"/>
        </w:rPr>
        <w:t>SCHEDULED PROPERTY:</w:t>
      </w:r>
      <w:r>
        <w:rPr>
          <w:highlight w:val="white"/>
        </w:rPr>
        <w:t xml:space="preserve"> Personal property individually listed on an insurance policy for which the insured has purchased additional coverage over and above the typical coverage limits in a homeowners' insu</w:t>
      </w:r>
      <w:r>
        <w:rPr>
          <w:highlight w:val="white"/>
        </w:rPr>
        <w:t xml:space="preserve">rance policy. Often accompanied by a description and appraisal, scheduled property is often covered by a Personal Property Floater. Examples include jewelry, musical instruments, antiques, or other valuable personal property. </w:t>
      </w:r>
      <w:r>
        <w:rPr>
          <w:i/>
          <w:highlight w:val="white"/>
        </w:rPr>
        <w:t>(See Special Limits of Liabili</w:t>
      </w:r>
      <w:r>
        <w:rPr>
          <w:i/>
          <w:highlight w:val="white"/>
        </w:rPr>
        <w:t>ty.)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SCOPE, SCOPE OF REPAIR:</w:t>
      </w:r>
      <w:r>
        <w:rPr>
          <w:highlight w:val="white"/>
        </w:rPr>
        <w:t xml:space="preserve"> </w:t>
      </w:r>
      <w:r>
        <w:rPr>
          <w:highlight w:val="white"/>
        </w:rPr>
        <w:t>The extent of repairs required after a damage incident; a complete, detailed listing of the repairs required to remedy damage at a specific site, prepared by a contractor, restorer, public adjuster or other individual experienced in evaluating damage.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i/>
          <w:highlight w:val="white"/>
        </w:rPr>
      </w:pPr>
      <w:r>
        <w:rPr>
          <w:rFonts w:ascii="Roboto" w:eastAsia="Roboto" w:hAnsi="Roboto" w:cs="Roboto"/>
          <w:b/>
          <w:i/>
          <w:color w:val="D45F4A"/>
          <w:sz w:val="24"/>
          <w:szCs w:val="24"/>
          <w:highlight w:val="white"/>
        </w:rPr>
        <w:t>SPEC</w:t>
      </w:r>
      <w:r>
        <w:rPr>
          <w:rFonts w:ascii="Roboto" w:eastAsia="Roboto" w:hAnsi="Roboto" w:cs="Roboto"/>
          <w:b/>
          <w:i/>
          <w:color w:val="D45F4A"/>
          <w:sz w:val="24"/>
          <w:szCs w:val="24"/>
          <w:highlight w:val="white"/>
        </w:rPr>
        <w:t>IAL LIMITS OF LIABILITY:</w:t>
      </w:r>
      <w:r>
        <w:rPr>
          <w:highlight w:val="white"/>
        </w:rPr>
        <w:t xml:space="preserve"> A limitation within the policy wording that states how much the maximum will be paid for certain predefined items. These typically include property such as jewelry, cash, precious metals like silver or gold, furs, antiques, collect</w:t>
      </w:r>
      <w:r>
        <w:rPr>
          <w:highlight w:val="white"/>
        </w:rPr>
        <w:t xml:space="preserve">ibles, and other valuable items. Policyholders need to pay close attention to these limits and schedule special coverage for items of value. </w:t>
      </w:r>
      <w:r>
        <w:rPr>
          <w:i/>
          <w:highlight w:val="white"/>
        </w:rPr>
        <w:t>(See Scheduled Property.)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STATE OF DOMICILE:</w:t>
      </w:r>
      <w:r>
        <w:rPr>
          <w:highlight w:val="white"/>
        </w:rPr>
        <w:t xml:space="preserve"> The state where a company's home office is located.</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STOCK INSURANCE CO</w:t>
      </w:r>
      <w:r>
        <w:rPr>
          <w:rFonts w:ascii="Roboto" w:eastAsia="Roboto" w:hAnsi="Roboto" w:cs="Roboto"/>
          <w:b/>
          <w:i/>
          <w:color w:val="D45F4A"/>
          <w:sz w:val="24"/>
          <w:szCs w:val="24"/>
          <w:highlight w:val="white"/>
        </w:rPr>
        <w:t>MPANY:</w:t>
      </w:r>
      <w:r>
        <w:rPr>
          <w:highlight w:val="white"/>
        </w:rPr>
        <w:t xml:space="preserve"> A for-profit insurance company that is owned by stockholders, as opposed to a mutual insurance company, which is owned by the policyholders and operated as a non-profit. </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SUBROGATION:</w:t>
      </w:r>
      <w:r>
        <w:rPr>
          <w:highlight w:val="white"/>
        </w:rPr>
        <w:t xml:space="preserve"> Situation where an insurer, on behalf of the insured, has a legal right to bring a liability suit against a third party who caused losses to the insured. Insurer maintains the right to seek reimbursement for losses incurred by insurer at the fault of a th</w:t>
      </w:r>
      <w:r>
        <w:rPr>
          <w:highlight w:val="white"/>
        </w:rPr>
        <w:t>ird party.</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TIME ELEMENT COVERAGE:</w:t>
      </w:r>
      <w:r>
        <w:rPr>
          <w:highlight w:val="white"/>
        </w:rPr>
        <w:t xml:space="preserve"> Insurance to compensate for indirect, time-related losses such as Loss of Use, Business Interruption, Fair Rental Value, and Extra Expense.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rFonts w:ascii="Source Sans Pro" w:eastAsia="Source Sans Pro" w:hAnsi="Source Sans Pro" w:cs="Source Sans Pro"/>
          <w:highlight w:val="white"/>
        </w:rPr>
      </w:pPr>
      <w:r>
        <w:rPr>
          <w:rFonts w:ascii="Roboto" w:eastAsia="Roboto" w:hAnsi="Roboto" w:cs="Roboto"/>
          <w:b/>
          <w:i/>
          <w:color w:val="D45F4A"/>
          <w:sz w:val="24"/>
          <w:szCs w:val="24"/>
          <w:highlight w:val="white"/>
        </w:rPr>
        <w:t>UNDERWRITER:</w:t>
      </w:r>
      <w:r>
        <w:rPr>
          <w:highlight w:val="white"/>
        </w:rPr>
        <w:t xml:space="preserve"> A person who identifies, examines and classifies the degree of risk r</w:t>
      </w:r>
      <w:r>
        <w:rPr>
          <w:highlight w:val="white"/>
        </w:rPr>
        <w:t>epresented by a proposed insured in order to determine whether or not coverage should be provided and, if so, at what rate.</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UNSALVAGEABLE:</w:t>
      </w:r>
      <w:r>
        <w:rPr>
          <w:highlight w:val="white"/>
        </w:rPr>
        <w:t xml:space="preserve"> Damaged beyond the possibility of cost-effective restoration.</w:t>
      </w:r>
    </w:p>
    <w:p w:rsidR="00486112" w:rsidRDefault="004B6AE2">
      <w:pPr>
        <w:pBdr>
          <w:top w:val="none" w:sz="0" w:space="0" w:color="auto"/>
          <w:left w:val="none" w:sz="0" w:space="6" w:color="auto"/>
          <w:bottom w:val="none" w:sz="0" w:space="0" w:color="auto"/>
          <w:right w:val="none" w:sz="0" w:space="0" w:color="auto"/>
          <w:between w:val="none" w:sz="0" w:space="0" w:color="auto"/>
        </w:pBdr>
        <w:shd w:val="clear" w:color="auto" w:fill="FFFFFF"/>
        <w:spacing w:before="240" w:after="200"/>
        <w:rPr>
          <w:highlight w:val="white"/>
        </w:rPr>
      </w:pPr>
      <w:r>
        <w:rPr>
          <w:rFonts w:ascii="Roboto" w:eastAsia="Roboto" w:hAnsi="Roboto" w:cs="Roboto"/>
          <w:b/>
          <w:i/>
          <w:color w:val="D45F4A"/>
          <w:sz w:val="24"/>
          <w:szCs w:val="24"/>
          <w:highlight w:val="white"/>
        </w:rPr>
        <w:t>VALUED POLICY LAW:</w:t>
      </w:r>
      <w:r>
        <w:rPr>
          <w:highlight w:val="white"/>
        </w:rPr>
        <w:t xml:space="preserve"> State legislation that requires insu</w:t>
      </w:r>
      <w:r>
        <w:rPr>
          <w:highlight w:val="white"/>
        </w:rPr>
        <w:t>rance companies to pay the full value of the insurance to an insured entity in the event of a total loss. The Valued Policy Law does not consider the actual cash value of the insured property at the time of the loss; instead, the total loss mandates the to</w:t>
      </w:r>
      <w:r>
        <w:rPr>
          <w:highlight w:val="white"/>
        </w:rPr>
        <w:t>tal payment of the policy stated.</w:t>
      </w:r>
    </w:p>
    <w:sectPr w:rsidR="00486112">
      <w:headerReference w:type="default" r:id="rId8"/>
      <w:footerReference w:type="default" r:id="rId9"/>
      <w:headerReference w:type="first" r:id="rId10"/>
      <w:footerReference w:type="first" r:id="rId11"/>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AE2" w:rsidRDefault="004B6AE2">
      <w:pPr>
        <w:spacing w:line="240" w:lineRule="auto"/>
      </w:pPr>
      <w:r>
        <w:separator/>
      </w:r>
    </w:p>
  </w:endnote>
  <w:endnote w:type="continuationSeparator" w:id="0">
    <w:p w:rsidR="004B6AE2" w:rsidRDefault="004B6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charset w:val="00"/>
    <w:family w:val="auto"/>
    <w:pitch w:val="default"/>
  </w:font>
  <w:font w:name="Source Sans Pro">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112" w:rsidRDefault="004B6AE2">
    <w:pPr>
      <w:jc w:val="center"/>
    </w:pPr>
    <w:r>
      <w:fldChar w:fldCharType="begin"/>
    </w:r>
    <w:r>
      <w:instrText>PAGE</w:instrText>
    </w:r>
    <w:r w:rsidR="00AE6189">
      <w:fldChar w:fldCharType="separate"/>
    </w:r>
    <w:r w:rsidR="00AE618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112" w:rsidRDefault="004B6AE2">
    <w:pPr>
      <w:jc w:val="center"/>
    </w:pPr>
    <w:r>
      <w:t>1</w:t>
    </w:r>
  </w:p>
  <w:p w:rsidR="00486112" w:rsidRDefault="0048611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AE2" w:rsidRDefault="004B6AE2">
      <w:pPr>
        <w:spacing w:line="240" w:lineRule="auto"/>
      </w:pPr>
      <w:r>
        <w:separator/>
      </w:r>
    </w:p>
  </w:footnote>
  <w:footnote w:type="continuationSeparator" w:id="0">
    <w:p w:rsidR="004B6AE2" w:rsidRDefault="004B6A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112" w:rsidRDefault="004B6AE2">
    <w:r>
      <w:rPr>
        <w:noProof/>
      </w:rPr>
      <w:drawing>
        <wp:anchor distT="114300" distB="114300" distL="114300" distR="114300" simplePos="0" relativeHeight="251658240" behindDoc="0" locked="0" layoutInCell="1" hidden="0" allowOverlap="1">
          <wp:simplePos x="0" y="0"/>
          <wp:positionH relativeFrom="margin">
            <wp:posOffset>-38099</wp:posOffset>
          </wp:positionH>
          <wp:positionV relativeFrom="paragraph">
            <wp:posOffset>0</wp:posOffset>
          </wp:positionV>
          <wp:extent cx="1705408" cy="48101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05408" cy="48101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112" w:rsidRDefault="004B6AE2">
    <w:r>
      <w:rPr>
        <w:noProof/>
      </w:rPr>
      <mc:AlternateContent>
        <mc:Choice Requires="wpg">
          <w:drawing>
            <wp:anchor distT="0" distB="0" distL="0" distR="0" simplePos="0" relativeHeight="251659264" behindDoc="1" locked="0" layoutInCell="1" hidden="0" allowOverlap="1">
              <wp:simplePos x="0" y="0"/>
              <wp:positionH relativeFrom="margin">
                <wp:posOffset>-1052512</wp:posOffset>
              </wp:positionH>
              <wp:positionV relativeFrom="paragraph">
                <wp:posOffset>-66674</wp:posOffset>
              </wp:positionV>
              <wp:extent cx="8052559" cy="1243013"/>
              <wp:effectExtent l="0" t="0" r="0" b="0"/>
              <wp:wrapSquare wrapText="bothSides" distT="0" distB="0" distL="0" distR="0"/>
              <wp:docPr id="3" name="Group 3"/>
              <wp:cNvGraphicFramePr/>
              <a:graphic xmlns:a="http://schemas.openxmlformats.org/drawingml/2006/main">
                <a:graphicData uri="http://schemas.microsoft.com/office/word/2010/wordprocessingGroup">
                  <wpg:wgp>
                    <wpg:cNvGrpSpPr/>
                    <wpg:grpSpPr>
                      <a:xfrm>
                        <a:off x="0" y="0"/>
                        <a:ext cx="8052559" cy="1243013"/>
                        <a:chOff x="190575" y="1714500"/>
                        <a:chExt cx="8915250" cy="1352400"/>
                      </a:xfrm>
                    </wpg:grpSpPr>
                    <wps:wsp>
                      <wps:cNvPr id="4" name="Right Triangle 4"/>
                      <wps:cNvSpPr/>
                      <wps:spPr>
                        <a:xfrm rot="10800000" flipH="1">
                          <a:off x="190575" y="1714500"/>
                          <a:ext cx="4486200" cy="1352400"/>
                        </a:xfrm>
                        <a:prstGeom prst="rtTriangle">
                          <a:avLst/>
                        </a:prstGeom>
                        <a:solidFill>
                          <a:srgbClr val="D45F4A"/>
                        </a:solidFill>
                        <a:ln w="9525" cap="flat" cmpd="sng">
                          <a:solidFill>
                            <a:srgbClr val="000000"/>
                          </a:solidFill>
                          <a:prstDash val="solid"/>
                          <a:round/>
                          <a:headEnd type="none" w="med" len="med"/>
                          <a:tailEnd type="none" w="med" len="med"/>
                        </a:ln>
                      </wps:spPr>
                      <wps:txbx>
                        <w:txbxContent>
                          <w:p w:rsidR="00486112" w:rsidRDefault="00486112">
                            <w:pPr>
                              <w:spacing w:line="240" w:lineRule="auto"/>
                              <w:textDirection w:val="btLr"/>
                            </w:pPr>
                          </w:p>
                        </w:txbxContent>
                      </wps:txbx>
                      <wps:bodyPr spcFirstLastPara="1" wrap="square" lIns="91425" tIns="91425" rIns="91425" bIns="91425" anchor="ctr" anchorCtr="0"/>
                    </wps:wsp>
                    <wps:wsp>
                      <wps:cNvPr id="5" name="Right Triangle 5"/>
                      <wps:cNvSpPr/>
                      <wps:spPr>
                        <a:xfrm rot="10800000">
                          <a:off x="4619625" y="1714500"/>
                          <a:ext cx="4486200" cy="1352400"/>
                        </a:xfrm>
                        <a:prstGeom prst="rtTriangle">
                          <a:avLst/>
                        </a:prstGeom>
                        <a:solidFill>
                          <a:srgbClr val="D45F4A"/>
                        </a:solidFill>
                        <a:ln w="9525" cap="flat" cmpd="sng">
                          <a:solidFill>
                            <a:srgbClr val="000000"/>
                          </a:solidFill>
                          <a:prstDash val="solid"/>
                          <a:round/>
                          <a:headEnd type="none" w="med" len="med"/>
                          <a:tailEnd type="none" w="med" len="med"/>
                        </a:ln>
                      </wps:spPr>
                      <wps:txbx>
                        <w:txbxContent>
                          <w:p w:rsidR="00486112" w:rsidRDefault="00486112">
                            <w:pPr>
                              <w:spacing w:line="240" w:lineRule="auto"/>
                              <w:textDirection w:val="btLr"/>
                            </w:pPr>
                          </w:p>
                        </w:txbxContent>
                      </wps:txbx>
                      <wps:bodyPr spcFirstLastPara="1" wrap="square" lIns="91425" tIns="91425" rIns="91425" bIns="91425" anchor="ctr" anchorCtr="0"/>
                    </wps:wsp>
                  </wpg:wgp>
                </a:graphicData>
              </a:graphic>
            </wp:anchor>
          </w:drawing>
        </mc:Choice>
        <mc:Fallback>
          <w:pict>
            <v:group id="Group 3" o:spid="_x0000_s1026" style="position:absolute;margin-left:-82.85pt;margin-top:-5.25pt;width:634.05pt;height:97.9pt;z-index:-251657216;mso-wrap-distance-left:0;mso-wrap-distance-right:0;mso-position-horizontal-relative:margin" coordorigin="1905,17145" coordsize="89152,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left:1905;top:17145;width:44862;height:13524;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" fillcolor="#d45f4a">
                <v:stroke joinstyle="round"/>
                <v:textbox inset="2.53958mm,2.53958mm,2.53958mm,2.53958mm">
                  <w:txbxContent>
                    <w:p w:rsidR="00486112" w:rsidRDefault="00486112">
                      <w:pPr>
                        <w:spacing w:line="240" w:lineRule="auto"/>
                        <w:textDirection w:val="btLr"/>
                      </w:pPr>
                    </w:p>
                  </w:txbxContent>
                </v:textbox>
              </v:shape>
              <v:shape id="Right Triangle 5" o:spid="_x0000_s1028" type="#_x0000_t6" style="position:absolute;left:46196;top:17145;width:44862;height:135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" fillcolor="#d45f4a">
                <v:stroke joinstyle="round"/>
                <v:textbox inset="2.53958mm,2.53958mm,2.53958mm,2.53958mm">
                  <w:txbxContent>
                    <w:p w:rsidR="00486112" w:rsidRDefault="00486112">
                      <w:pPr>
                        <w:spacing w:line="240" w:lineRule="auto"/>
                        <w:textDirection w:val="btLr"/>
                      </w:pPr>
                    </w:p>
                  </w:txbxContent>
                </v:textbox>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54BF2"/>
    <w:multiLevelType w:val="multilevel"/>
    <w:tmpl w:val="B1E67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DE2F8C"/>
    <w:multiLevelType w:val="multilevel"/>
    <w:tmpl w:val="6FF6C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5A1A4F"/>
    <w:multiLevelType w:val="multilevel"/>
    <w:tmpl w:val="1AF45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41718E"/>
    <w:multiLevelType w:val="multilevel"/>
    <w:tmpl w:val="60004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12"/>
    <w:rsid w:val="00486112"/>
    <w:rsid w:val="004B6AE2"/>
    <w:rsid w:val="00AE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65E6D-275A-4AA6-8BF5-5E1A119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Sullivan</dc:creator>
  <cp:lastModifiedBy>Angela Sullivan</cp:lastModifiedBy>
  <cp:revision>2</cp:revision>
  <dcterms:created xsi:type="dcterms:W3CDTF">2018-01-30T15:13:00Z</dcterms:created>
  <dcterms:modified xsi:type="dcterms:W3CDTF">2018-01-30T15:13:00Z</dcterms:modified>
</cp:coreProperties>
</file>